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DE" w:rsidRPr="005C4841" w:rsidRDefault="00651BDE" w:rsidP="008E47F5">
      <w:pPr>
        <w:widowControl w:val="0"/>
        <w:autoSpaceDE w:val="0"/>
        <w:autoSpaceDN w:val="0"/>
        <w:spacing w:line="240" w:lineRule="atLeast"/>
        <w:ind w:left="5670"/>
        <w:jc w:val="right"/>
        <w:outlineLvl w:val="1"/>
      </w:pPr>
      <w:r w:rsidRPr="005C4841">
        <w:t xml:space="preserve">Приложение 1 </w:t>
      </w:r>
    </w:p>
    <w:p w:rsidR="00651BDE" w:rsidRPr="005C4841" w:rsidRDefault="00651BDE" w:rsidP="008E47F5">
      <w:pPr>
        <w:widowControl w:val="0"/>
        <w:autoSpaceDE w:val="0"/>
        <w:autoSpaceDN w:val="0"/>
        <w:spacing w:line="240" w:lineRule="atLeast"/>
        <w:ind w:left="5103"/>
        <w:jc w:val="right"/>
        <w:outlineLvl w:val="1"/>
      </w:pPr>
      <w:r w:rsidRPr="005C4841">
        <w:t xml:space="preserve">к Порядку оценки налоговых расходов </w:t>
      </w:r>
    </w:p>
    <w:p w:rsidR="00651BDE" w:rsidRDefault="00651BDE" w:rsidP="008E47F5">
      <w:pPr>
        <w:widowControl w:val="0"/>
        <w:autoSpaceDE w:val="0"/>
        <w:autoSpaceDN w:val="0"/>
        <w:spacing w:line="240" w:lineRule="atLeast"/>
        <w:jc w:val="right"/>
        <w:outlineLvl w:val="1"/>
      </w:pPr>
    </w:p>
    <w:p w:rsidR="000B6894" w:rsidRPr="00CE35D5" w:rsidRDefault="000B6894" w:rsidP="005870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06"/>
      <w:bookmarkStart w:id="1" w:name="P172"/>
      <w:bookmarkEnd w:id="0"/>
      <w:bookmarkEnd w:id="1"/>
      <w:r w:rsidRPr="00CE35D5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0B6894" w:rsidRPr="00CE35D5" w:rsidRDefault="000B6894" w:rsidP="0058702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5D5">
        <w:rPr>
          <w:rFonts w:ascii="Times New Roman" w:hAnsi="Times New Roman" w:cs="Times New Roman"/>
          <w:b w:val="0"/>
          <w:sz w:val="24"/>
          <w:szCs w:val="24"/>
        </w:rPr>
        <w:t>информации, включаемой в паспорт налогового расхода</w:t>
      </w:r>
    </w:p>
    <w:p w:rsidR="00587025" w:rsidRPr="003A7EDF" w:rsidRDefault="000B6894" w:rsidP="00587025">
      <w:pPr>
        <w:widowControl w:val="0"/>
        <w:autoSpaceDE w:val="0"/>
        <w:autoSpaceDN w:val="0"/>
        <w:spacing w:line="240" w:lineRule="atLeast"/>
        <w:ind w:left="142"/>
        <w:jc w:val="center"/>
        <w:outlineLvl w:val="1"/>
        <w:rPr>
          <w:b/>
          <w:sz w:val="24"/>
          <w:szCs w:val="24"/>
        </w:rPr>
      </w:pPr>
      <w:r>
        <w:rPr>
          <w:sz w:val="24"/>
          <w:szCs w:val="24"/>
        </w:rPr>
        <w:t>муниципального образования сельского</w:t>
      </w:r>
      <w:r w:rsidRPr="00CE35D5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Половинка</w:t>
      </w:r>
    </w:p>
    <w:p w:rsidR="00587025" w:rsidRPr="003A7EDF" w:rsidRDefault="00587025" w:rsidP="0058702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78"/>
        <w:gridCol w:w="4971"/>
        <w:gridCol w:w="3685"/>
      </w:tblGrid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46A0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46A09">
              <w:rPr>
                <w:rFonts w:ascii="Times New Roman" w:hAnsi="Times New Roman"/>
              </w:rPr>
              <w:t>/</w:t>
            </w:r>
            <w:proofErr w:type="spellStart"/>
            <w:r w:rsidRPr="00046A0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Источник данных</w:t>
            </w:r>
          </w:p>
        </w:tc>
      </w:tr>
      <w:tr w:rsidR="00587025" w:rsidRPr="003A7EDF" w:rsidTr="00C52139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I. Нормативные характеристики налогового расхода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3620A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3620A">
              <w:rPr>
                <w:rFonts w:ascii="Times New Roman" w:hAnsi="Times New Roman"/>
              </w:rPr>
              <w:t>1.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587025" w:rsidRDefault="00587025" w:rsidP="00587025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587025">
              <w:rPr>
                <w:rFonts w:ascii="Times New Roman" w:eastAsia="font332" w:hAnsi="Times New Roman"/>
                <w:szCs w:val="22"/>
                <w:lang w:eastAsia="en-US"/>
              </w:rPr>
              <w:t>Решение Совета депутатов от 04.10.2018 №8 «Об утверждении Положения о земельном налоге на территории муниципального образования сельское поселение Половинка» (</w:t>
            </w:r>
            <w:proofErr w:type="spellStart"/>
            <w:r w:rsidRPr="00587025">
              <w:rPr>
                <w:rFonts w:ascii="Times New Roman" w:eastAsia="font332" w:hAnsi="Times New Roman"/>
                <w:szCs w:val="22"/>
                <w:lang w:eastAsia="en-US"/>
              </w:rPr>
              <w:t>изм</w:t>
            </w:r>
            <w:proofErr w:type="spellEnd"/>
            <w:r w:rsidRPr="00587025">
              <w:rPr>
                <w:rFonts w:ascii="Times New Roman" w:eastAsia="font332" w:hAnsi="Times New Roman"/>
                <w:szCs w:val="22"/>
                <w:lang w:eastAsia="en-US"/>
              </w:rPr>
              <w:t xml:space="preserve">. от 30.09.2019 № 66, от 29.10.2019 № 76, от 21.09.2020 № 134, от 22.11.2021 № 215, </w:t>
            </w:r>
            <w:proofErr w:type="gramStart"/>
            <w:r w:rsidRPr="00587025">
              <w:rPr>
                <w:rFonts w:ascii="Times New Roman" w:eastAsia="font332" w:hAnsi="Times New Roman"/>
                <w:szCs w:val="22"/>
                <w:lang w:eastAsia="en-US"/>
              </w:rPr>
              <w:t>от</w:t>
            </w:r>
            <w:proofErr w:type="gramEnd"/>
            <w:r w:rsidRPr="00587025">
              <w:rPr>
                <w:rFonts w:ascii="Times New Roman" w:eastAsia="font332" w:hAnsi="Times New Roman"/>
                <w:szCs w:val="22"/>
                <w:lang w:eastAsia="en-US"/>
              </w:rPr>
              <w:t xml:space="preserve"> 25.10.2022 № 255, от 20.12.2022 № 261</w:t>
            </w:r>
            <w:r w:rsidR="00997CCF">
              <w:rPr>
                <w:rFonts w:ascii="Times New Roman" w:eastAsia="font332" w:hAnsi="Times New Roman"/>
                <w:szCs w:val="22"/>
                <w:lang w:eastAsia="en-US"/>
              </w:rPr>
              <w:t>, от 29.09.2023 № 7</w:t>
            </w:r>
            <w:r w:rsidRPr="00587025">
              <w:rPr>
                <w:rFonts w:ascii="Times New Roman" w:eastAsia="font332" w:hAnsi="Times New Roman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/>
                <w:szCs w:val="22"/>
                <w:lang w:eastAsia="en-US"/>
              </w:rPr>
              <w:t>пп.5 п.2.1/разд.2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3620A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3620A">
              <w:rPr>
                <w:rFonts w:ascii="Times New Roman" w:hAnsi="Times New Roman"/>
              </w:rPr>
              <w:t>2.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7D6F27" w:rsidRDefault="00587025" w:rsidP="00C52139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7F1CCA">
              <w:rPr>
                <w:sz w:val="23"/>
                <w:szCs w:val="23"/>
              </w:rPr>
              <w:t>Земельн</w:t>
            </w:r>
            <w:r>
              <w:rPr>
                <w:sz w:val="23"/>
                <w:szCs w:val="23"/>
              </w:rPr>
              <w:t>ые участки организаций, на которых расположены объекты связи и центры обработки данных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5B756B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B756B">
              <w:rPr>
                <w:rFonts w:ascii="Times New Roman" w:hAnsi="Times New Roman"/>
              </w:rPr>
              <w:t>3.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5B756B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5B756B">
              <w:rPr>
                <w:rFonts w:ascii="Times New Roman" w:hAnsi="Times New Roman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3A7EDF" w:rsidRDefault="00587025" w:rsidP="00C52139">
            <w:pPr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Организации в отношении з</w:t>
            </w:r>
            <w:r w:rsidRPr="007F1CCA">
              <w:rPr>
                <w:sz w:val="23"/>
                <w:szCs w:val="23"/>
              </w:rPr>
              <w:t>емельн</w:t>
            </w:r>
            <w:r>
              <w:rPr>
                <w:sz w:val="23"/>
                <w:szCs w:val="23"/>
              </w:rPr>
              <w:t>ых участков, на которых расположены объекты связи и центры обработки данных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5B756B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B756B">
              <w:rPr>
                <w:rFonts w:ascii="Times New Roman" w:hAnsi="Times New Roman"/>
              </w:rPr>
              <w:t>4.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5B756B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5B756B">
              <w:rPr>
                <w:rFonts w:ascii="Times New Roman" w:hAnsi="Times New Roman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03620A" w:rsidRDefault="00587025" w:rsidP="00C521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января 2023</w:t>
            </w:r>
            <w:r w:rsidRPr="0003620A">
              <w:rPr>
                <w:sz w:val="22"/>
                <w:szCs w:val="22"/>
              </w:rPr>
              <w:t xml:space="preserve"> года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5B756B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B756B">
              <w:rPr>
                <w:rFonts w:ascii="Times New Roman" w:hAnsi="Times New Roman"/>
              </w:rPr>
              <w:t>5.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5B756B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5B756B">
              <w:rPr>
                <w:rFonts w:ascii="Times New Roman" w:hAnsi="Times New Roman"/>
              </w:rPr>
              <w:t xml:space="preserve">Даты начала </w:t>
            </w:r>
            <w:proofErr w:type="gramStart"/>
            <w:r w:rsidRPr="005B756B">
              <w:rPr>
                <w:rFonts w:ascii="Times New Roman" w:hAnsi="Times New Roman"/>
              </w:rPr>
              <w:t>действия</w:t>
            </w:r>
            <w:proofErr w:type="gramEnd"/>
            <w:r w:rsidRPr="005B756B">
              <w:rPr>
                <w:rFonts w:ascii="Times New Roman" w:hAnsi="Times New Roman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03620A" w:rsidRDefault="00587025" w:rsidP="00C52139">
            <w:pPr>
              <w:jc w:val="both"/>
              <w:rPr>
                <w:sz w:val="22"/>
                <w:szCs w:val="22"/>
              </w:rPr>
            </w:pPr>
            <w:r w:rsidRPr="0003620A">
              <w:rPr>
                <w:sz w:val="22"/>
                <w:szCs w:val="22"/>
              </w:rPr>
              <w:t>01 января</w:t>
            </w:r>
            <w:r>
              <w:rPr>
                <w:sz w:val="22"/>
                <w:szCs w:val="22"/>
              </w:rPr>
              <w:t xml:space="preserve"> 2023</w:t>
            </w:r>
            <w:r w:rsidRPr="0003620A">
              <w:rPr>
                <w:sz w:val="22"/>
                <w:szCs w:val="22"/>
              </w:rPr>
              <w:t xml:space="preserve"> года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3B4DDC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B4DDC">
              <w:rPr>
                <w:rFonts w:ascii="Times New Roman" w:hAnsi="Times New Roman"/>
              </w:rPr>
              <w:t>6.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 xml:space="preserve">Период действия налоговых льгот, освобождений </w:t>
            </w:r>
            <w:r w:rsidRPr="00046A09">
              <w:rPr>
                <w:rFonts w:ascii="Times New Roman" w:hAnsi="Times New Roman"/>
              </w:rPr>
              <w:br/>
              <w:t>и иных преференций по налогам, предоставленным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  <w:vAlign w:val="center"/>
          </w:tcPr>
          <w:p w:rsidR="00587025" w:rsidRPr="00476BB9" w:rsidRDefault="00587025" w:rsidP="00C52139">
            <w:pPr>
              <w:jc w:val="both"/>
              <w:rPr>
                <w:sz w:val="22"/>
                <w:szCs w:val="22"/>
              </w:rPr>
            </w:pPr>
            <w:proofErr w:type="gramStart"/>
            <w:r w:rsidRPr="004E12AB">
              <w:rPr>
                <w:sz w:val="22"/>
                <w:szCs w:val="22"/>
              </w:rPr>
              <w:t>Н</w:t>
            </w:r>
            <w:r w:rsidRPr="00476BB9">
              <w:rPr>
                <w:sz w:val="22"/>
                <w:szCs w:val="22"/>
              </w:rPr>
              <w:t>еограниченный</w:t>
            </w:r>
            <w:proofErr w:type="gramEnd"/>
            <w:r w:rsidRPr="00476BB9">
              <w:rPr>
                <w:sz w:val="22"/>
                <w:szCs w:val="22"/>
              </w:rPr>
              <w:t xml:space="preserve"> (до даты прекращения действия льготы)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3B4DDC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B4DDC">
              <w:rPr>
                <w:rFonts w:ascii="Times New Roman" w:hAnsi="Times New Roman"/>
              </w:rPr>
              <w:t>7.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3A7EDF" w:rsidRDefault="00587025" w:rsidP="00C521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E1320">
              <w:rPr>
                <w:sz w:val="22"/>
                <w:szCs w:val="22"/>
              </w:rPr>
              <w:t>е установлено</w:t>
            </w:r>
          </w:p>
        </w:tc>
      </w:tr>
      <w:tr w:rsidR="00587025" w:rsidRPr="003A7EDF" w:rsidTr="00C52139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II. Целевые характеристики налогового расхода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3B4DDC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B4DDC">
              <w:rPr>
                <w:rFonts w:ascii="Times New Roman" w:hAnsi="Times New Roman"/>
              </w:rPr>
              <w:t>8.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647458" w:rsidRDefault="00587025" w:rsidP="00C52139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647458">
              <w:rPr>
                <w:sz w:val="23"/>
                <w:szCs w:val="23"/>
                <w:shd w:val="clear" w:color="auto" w:fill="FFFFFF"/>
              </w:rPr>
              <w:t xml:space="preserve">Пониженная ставка </w:t>
            </w:r>
          </w:p>
          <w:p w:rsidR="00587025" w:rsidRPr="00647458" w:rsidRDefault="00587025" w:rsidP="00C52139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647458">
              <w:rPr>
                <w:sz w:val="23"/>
                <w:szCs w:val="23"/>
                <w:shd w:val="clear" w:color="auto" w:fill="FFFFFF"/>
              </w:rPr>
              <w:t>0,</w:t>
            </w:r>
            <w:r>
              <w:rPr>
                <w:sz w:val="23"/>
                <w:szCs w:val="23"/>
                <w:shd w:val="clear" w:color="auto" w:fill="FFFFFF"/>
              </w:rPr>
              <w:t>7</w:t>
            </w:r>
            <w:r w:rsidRPr="00647458">
              <w:rPr>
                <w:sz w:val="23"/>
                <w:szCs w:val="23"/>
                <w:shd w:val="clear" w:color="auto" w:fill="FFFFFF"/>
              </w:rPr>
              <w:t xml:space="preserve">5 % в отношении </w:t>
            </w:r>
            <w:r>
              <w:rPr>
                <w:sz w:val="23"/>
                <w:szCs w:val="23"/>
                <w:shd w:val="clear" w:color="auto" w:fill="FFFFFF"/>
              </w:rPr>
              <w:t>з</w:t>
            </w:r>
            <w:r w:rsidRPr="00647458">
              <w:rPr>
                <w:sz w:val="23"/>
                <w:szCs w:val="23"/>
                <w:shd w:val="clear" w:color="auto" w:fill="FFFFFF"/>
              </w:rPr>
              <w:t>емельных участков организаций, на которых расположены объекты связи и центры обработки</w:t>
            </w:r>
            <w:r>
              <w:rPr>
                <w:sz w:val="23"/>
                <w:szCs w:val="23"/>
                <w:shd w:val="clear" w:color="auto" w:fill="FFFFFF"/>
              </w:rPr>
              <w:t xml:space="preserve"> данных</w:t>
            </w:r>
          </w:p>
        </w:tc>
      </w:tr>
      <w:tr w:rsidR="00587025" w:rsidRPr="003A7EDF" w:rsidTr="00C52139">
        <w:trPr>
          <w:trHeight w:val="429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3B4DDC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B4DDC">
              <w:rPr>
                <w:rFonts w:ascii="Times New Roman" w:hAnsi="Times New Roman"/>
              </w:rPr>
              <w:t>9.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Целевая категория налоговых расходов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3A7EDF" w:rsidRDefault="00587025" w:rsidP="00C52139">
            <w:pPr>
              <w:jc w:val="both"/>
              <w:rPr>
                <w:sz w:val="22"/>
                <w:szCs w:val="22"/>
              </w:rPr>
            </w:pPr>
            <w:r w:rsidRPr="001C0C04">
              <w:rPr>
                <w:sz w:val="22"/>
                <w:szCs w:val="22"/>
              </w:rPr>
              <w:t>Стимулирующая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center"/>
              <w:rPr>
                <w:rFonts w:ascii="Times New Roman" w:hAnsi="Times New Roman"/>
                <w:highlight w:val="yellow"/>
              </w:rPr>
            </w:pPr>
            <w:r w:rsidRPr="00046A09">
              <w:rPr>
                <w:rFonts w:ascii="Times New Roman" w:hAnsi="Times New Roman"/>
              </w:rPr>
              <w:t>10.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 w:rsidRPr="00046A09">
              <w:rPr>
                <w:rFonts w:ascii="Times New Roman" w:hAnsi="Times New Roman"/>
              </w:rPr>
              <w:lastRenderedPageBreak/>
              <w:t>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E7E77">
              <w:rPr>
                <w:rFonts w:ascii="Times New Roman" w:hAnsi="Times New Roman"/>
              </w:rPr>
              <w:lastRenderedPageBreak/>
              <w:t xml:space="preserve">Создание условий для развития общества знаний, повышение благосостояния и качества жизни </w:t>
            </w:r>
            <w:r w:rsidRPr="00AE7E77">
              <w:rPr>
                <w:rFonts w:ascii="Times New Roman" w:hAnsi="Times New Roman"/>
              </w:rPr>
              <w:lastRenderedPageBreak/>
              <w:t>жителей района путем повышения доступности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и муниципальных у</w:t>
            </w:r>
            <w:r>
              <w:rPr>
                <w:rFonts w:ascii="Times New Roman" w:hAnsi="Times New Roman"/>
              </w:rPr>
              <w:t>слуг для граждан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2476B0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476B0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3A7EDF" w:rsidRDefault="00587025" w:rsidP="00C521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2476B0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476B0">
              <w:rPr>
                <w:rFonts w:ascii="Times New Roman" w:hAnsi="Times New Roman"/>
              </w:rPr>
              <w:t>12.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647458" w:rsidRDefault="00587025" w:rsidP="00C52139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647458">
              <w:rPr>
                <w:sz w:val="23"/>
                <w:szCs w:val="23"/>
                <w:shd w:val="clear" w:color="auto" w:fill="FFFFFF"/>
              </w:rPr>
              <w:t xml:space="preserve">Пониженная ставка </w:t>
            </w:r>
          </w:p>
          <w:p w:rsidR="00587025" w:rsidRPr="003A7EDF" w:rsidRDefault="00587025" w:rsidP="00C52139">
            <w:pPr>
              <w:jc w:val="both"/>
              <w:rPr>
                <w:sz w:val="22"/>
                <w:szCs w:val="22"/>
              </w:rPr>
            </w:pP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center"/>
              <w:rPr>
                <w:rFonts w:ascii="Times New Roman" w:hAnsi="Times New Roman"/>
                <w:highlight w:val="yellow"/>
              </w:rPr>
            </w:pPr>
            <w:r w:rsidRPr="002476B0">
              <w:rPr>
                <w:rFonts w:ascii="Times New Roman" w:hAnsi="Times New Roman"/>
              </w:rPr>
              <w:t>13.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3A7EDF" w:rsidRDefault="00587025" w:rsidP="00C521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0,75% - с 01.01.2023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14.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Думы Кондинского района от 05.09.2017 №297 «О стратегии социально-экономического развития Кондинского района Ханты-Мансийского автономного округа – </w:t>
            </w:r>
            <w:proofErr w:type="spellStart"/>
            <w:r>
              <w:rPr>
                <w:rFonts w:ascii="Times New Roman" w:hAnsi="Times New Roman"/>
              </w:rPr>
              <w:t>Югры</w:t>
            </w:r>
            <w:proofErr w:type="spellEnd"/>
            <w:r>
              <w:rPr>
                <w:rFonts w:ascii="Times New Roman" w:hAnsi="Times New Roman"/>
              </w:rPr>
              <w:t xml:space="preserve"> до 2030 года»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46A09" w:rsidRDefault="00587025" w:rsidP="00FD344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1</w:t>
            </w:r>
            <w:r w:rsidR="00FD3445">
              <w:rPr>
                <w:rFonts w:ascii="Times New Roman" w:hAnsi="Times New Roman"/>
              </w:rPr>
              <w:t>5</w:t>
            </w:r>
            <w:r w:rsidRPr="00046A09">
              <w:rPr>
                <w:rFonts w:ascii="Times New Roman" w:hAnsi="Times New Roman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Показатели (индикаторы) достижения целей муниципальных программ и (или) целей социально-экономической политики</w:t>
            </w:r>
            <w:proofErr w:type="gramStart"/>
            <w:r w:rsidRPr="00046A09">
              <w:rPr>
                <w:rFonts w:ascii="Times New Roman" w:hAnsi="Times New Roman"/>
              </w:rPr>
              <w:t xml:space="preserve"> ,</w:t>
            </w:r>
            <w:proofErr w:type="gramEnd"/>
            <w:r w:rsidRPr="00046A09">
              <w:rPr>
                <w:rFonts w:ascii="Times New Roman" w:hAnsi="Times New Roman"/>
              </w:rPr>
              <w:t>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181670" w:rsidRDefault="00587025" w:rsidP="00C5213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93591">
              <w:rPr>
                <w:rFonts w:ascii="Times New Roman" w:hAnsi="Times New Roman"/>
              </w:rPr>
              <w:t>Доля налогоплательщиков воспользовавшихся налоговой льготой от общего числа налогоплательщиков имеющих право на получение льготы</w:t>
            </w:r>
            <w:r>
              <w:rPr>
                <w:rFonts w:ascii="Times New Roman" w:hAnsi="Times New Roman"/>
              </w:rPr>
              <w:t>, %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46A09" w:rsidRDefault="00FD344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587025" w:rsidRPr="00046A09">
              <w:rPr>
                <w:rFonts w:ascii="Times New Roman" w:hAnsi="Times New Roman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181670" w:rsidRDefault="00587025" w:rsidP="00C5213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81670">
              <w:rPr>
                <w:rFonts w:ascii="Times New Roman" w:hAnsi="Times New Roman"/>
                <w:lang w:eastAsia="en-US"/>
              </w:rPr>
              <w:t>единиц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46A09" w:rsidRDefault="00FD344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87025" w:rsidRPr="00046A09">
              <w:rPr>
                <w:rFonts w:ascii="Times New Roman" w:hAnsi="Times New Roman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FA6E09" w:rsidRDefault="00587025" w:rsidP="00C521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  <w:p w:rsidR="00587025" w:rsidRPr="00FA6E09" w:rsidRDefault="00587025" w:rsidP="00C5213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587025" w:rsidRPr="003A7EDF" w:rsidTr="00C52139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III. Фискальные характеристики налогового расхода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46A09" w:rsidRDefault="00FD3445" w:rsidP="00C5213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87025" w:rsidRPr="00046A09">
              <w:rPr>
                <w:rFonts w:ascii="Times New Roman" w:hAnsi="Times New Roman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 xml:space="preserve">Объем налоговых льгот, освобождений и иных преференций, предоставленных для плательщиков </w:t>
            </w:r>
            <w:r w:rsidRPr="00046A09">
              <w:rPr>
                <w:rFonts w:ascii="Times New Roman" w:hAnsi="Times New Roman"/>
              </w:rPr>
              <w:lastRenderedPageBreak/>
              <w:t>налогов за отчетный финансовый год и за год, предшествующий плановому периоду в соответствии с муниципальными нормативно-правовыми актами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754BC1" w:rsidRDefault="00587025" w:rsidP="00C5213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587025" w:rsidRPr="00214B80" w:rsidRDefault="00587025" w:rsidP="00C52139">
            <w:pPr>
              <w:pStyle w:val="ConsPlusNormal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EC17E6" w:rsidRDefault="00FD344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587025" w:rsidRPr="00EC17E6">
              <w:rPr>
                <w:rFonts w:ascii="Times New Roman" w:hAnsi="Times New Roman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EC17E6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EC17E6">
              <w:rPr>
                <w:rFonts w:ascii="Times New Roman" w:hAnsi="Times New Roman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617DC0" w:rsidRDefault="00587025" w:rsidP="00C521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587025" w:rsidRPr="00617DC0" w:rsidRDefault="00587025" w:rsidP="00C52139">
            <w:pPr>
              <w:jc w:val="both"/>
              <w:rPr>
                <w:sz w:val="22"/>
                <w:szCs w:val="22"/>
              </w:rPr>
            </w:pP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46A09" w:rsidRDefault="00587025" w:rsidP="00FD344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2</w:t>
            </w:r>
            <w:r w:rsidR="00FD3445">
              <w:rPr>
                <w:rFonts w:ascii="Times New Roman" w:hAnsi="Times New Roman"/>
              </w:rPr>
              <w:t>0</w:t>
            </w:r>
            <w:r w:rsidRPr="00046A09">
              <w:rPr>
                <w:rFonts w:ascii="Times New Roman" w:hAnsi="Times New Roman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proofErr w:type="gramStart"/>
            <w:r w:rsidRPr="00046A09">
              <w:rPr>
                <w:rFonts w:ascii="Times New Roman" w:hAnsi="Times New Roman"/>
              </w:rPr>
              <w:t>Общая численность плательщиков налога в отчетном финансовому году (единиц)</w:t>
            </w:r>
            <w:proofErr w:type="gramEnd"/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046A09" w:rsidRDefault="00997CCF" w:rsidP="00C52139">
            <w:pPr>
              <w:pStyle w:val="ConsPlusNormal"/>
              <w:jc w:val="both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12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46A09" w:rsidRDefault="00FD344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87025" w:rsidRPr="00046A09">
              <w:rPr>
                <w:rFonts w:ascii="Times New Roman" w:hAnsi="Times New Roman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46A09" w:rsidRDefault="00FD344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87025" w:rsidRPr="00046A09">
              <w:rPr>
                <w:rFonts w:ascii="Times New Roman" w:hAnsi="Times New Roman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 xml:space="preserve">Базовый объем налогов, задекларированный для уплаты в бюджет муниципального образования </w:t>
            </w:r>
            <w:proofErr w:type="spellStart"/>
            <w:r w:rsidRPr="00046A09">
              <w:rPr>
                <w:rFonts w:ascii="Times New Roman" w:hAnsi="Times New Roman"/>
              </w:rPr>
              <w:t>Кондинский</w:t>
            </w:r>
            <w:proofErr w:type="spellEnd"/>
            <w:r w:rsidRPr="00046A09">
              <w:rPr>
                <w:rFonts w:ascii="Times New Roman" w:hAnsi="Times New Roman"/>
              </w:rPr>
              <w:t xml:space="preserve"> район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046A09" w:rsidRDefault="00997CCF" w:rsidP="00C5213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587025" w:rsidRPr="003A7EDF" w:rsidTr="00C52139">
        <w:trPr>
          <w:trHeight w:val="91"/>
        </w:trPr>
        <w:tc>
          <w:tcPr>
            <w:tcW w:w="262" w:type="pct"/>
            <w:tcMar>
              <w:top w:w="0" w:type="dxa"/>
              <w:bottom w:w="0" w:type="dxa"/>
            </w:tcMar>
          </w:tcPr>
          <w:p w:rsidR="00587025" w:rsidRPr="00046A09" w:rsidRDefault="00FD3445" w:rsidP="00C5213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587025" w:rsidRPr="00046A09">
              <w:rPr>
                <w:rFonts w:ascii="Times New Roman" w:hAnsi="Times New Roman"/>
              </w:rPr>
              <w:t>.</w:t>
            </w:r>
          </w:p>
        </w:tc>
        <w:tc>
          <w:tcPr>
            <w:tcW w:w="2721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ind w:right="35"/>
              <w:jc w:val="both"/>
              <w:rPr>
                <w:rFonts w:ascii="Times New Roman" w:hAnsi="Times New Roman"/>
              </w:rPr>
            </w:pPr>
            <w:r w:rsidRPr="00046A09">
              <w:rPr>
                <w:rFonts w:ascii="Times New Roman" w:hAnsi="Times New Roman"/>
              </w:rPr>
              <w:t xml:space="preserve">Объем налогов, задекларированный для уплаты в бюджет муниципального образования </w:t>
            </w:r>
            <w:proofErr w:type="spellStart"/>
            <w:r w:rsidRPr="00046A09">
              <w:rPr>
                <w:rFonts w:ascii="Times New Roman" w:hAnsi="Times New Roman"/>
              </w:rPr>
              <w:t>Кондинский</w:t>
            </w:r>
            <w:proofErr w:type="spellEnd"/>
            <w:r w:rsidRPr="00046A09">
              <w:rPr>
                <w:rFonts w:ascii="Times New Roman" w:hAnsi="Times New Roman"/>
              </w:rPr>
              <w:t xml:space="preserve"> район плательщиками налога, имеющими право на налоговые льготы, освобождения и иные преференции, за 6 лет, предшествующих отчетному финансовому году (в отношении стимулирующих налоговых расходов) (тыс. рублей)</w:t>
            </w:r>
          </w:p>
        </w:tc>
        <w:tc>
          <w:tcPr>
            <w:tcW w:w="2017" w:type="pct"/>
            <w:tcMar>
              <w:top w:w="0" w:type="dxa"/>
              <w:bottom w:w="0" w:type="dxa"/>
            </w:tcMar>
          </w:tcPr>
          <w:p w:rsidR="00587025" w:rsidRPr="00046A09" w:rsidRDefault="00587025" w:rsidP="00C5213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587025" w:rsidRPr="003A7EDF" w:rsidRDefault="00587025" w:rsidP="00587025">
      <w:pPr>
        <w:shd w:val="clear" w:color="auto" w:fill="FFFFFF"/>
        <w:tabs>
          <w:tab w:val="left" w:pos="1178"/>
        </w:tabs>
        <w:autoSpaceDE w:val="0"/>
        <w:autoSpaceDN w:val="0"/>
        <w:adjustRightInd w:val="0"/>
      </w:pPr>
    </w:p>
    <w:p w:rsidR="00587025" w:rsidRPr="00A75695" w:rsidRDefault="00587025" w:rsidP="0058702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87025" w:rsidRDefault="00587025" w:rsidP="00587025"/>
    <w:p w:rsidR="00651BDE" w:rsidRDefault="00651BDE" w:rsidP="00587025">
      <w:pPr>
        <w:pStyle w:val="ConsPlusNormal"/>
        <w:jc w:val="center"/>
      </w:pPr>
    </w:p>
    <w:sectPr w:rsidR="00651BDE" w:rsidSect="0064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3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7F5"/>
    <w:rsid w:val="000305F7"/>
    <w:rsid w:val="0003620A"/>
    <w:rsid w:val="00046A09"/>
    <w:rsid w:val="000825FD"/>
    <w:rsid w:val="000A3430"/>
    <w:rsid w:val="000B6894"/>
    <w:rsid w:val="000D4D18"/>
    <w:rsid w:val="000D4D56"/>
    <w:rsid w:val="000F19B0"/>
    <w:rsid w:val="000F69A1"/>
    <w:rsid w:val="00100239"/>
    <w:rsid w:val="00112A4D"/>
    <w:rsid w:val="00130F1A"/>
    <w:rsid w:val="00181670"/>
    <w:rsid w:val="001C0C04"/>
    <w:rsid w:val="001D4F97"/>
    <w:rsid w:val="001F5993"/>
    <w:rsid w:val="00213099"/>
    <w:rsid w:val="00236AA1"/>
    <w:rsid w:val="002476B0"/>
    <w:rsid w:val="00253BAE"/>
    <w:rsid w:val="002D03F1"/>
    <w:rsid w:val="002D1214"/>
    <w:rsid w:val="003134C3"/>
    <w:rsid w:val="00330779"/>
    <w:rsid w:val="00330EBE"/>
    <w:rsid w:val="00332185"/>
    <w:rsid w:val="00371E8E"/>
    <w:rsid w:val="00395177"/>
    <w:rsid w:val="00396EE4"/>
    <w:rsid w:val="003A4C37"/>
    <w:rsid w:val="003A7EDF"/>
    <w:rsid w:val="003B4DDC"/>
    <w:rsid w:val="003D4879"/>
    <w:rsid w:val="003E0760"/>
    <w:rsid w:val="003F496A"/>
    <w:rsid w:val="0042633D"/>
    <w:rsid w:val="004623A0"/>
    <w:rsid w:val="00476BB9"/>
    <w:rsid w:val="00484FE4"/>
    <w:rsid w:val="004E12AB"/>
    <w:rsid w:val="004E1320"/>
    <w:rsid w:val="005032B3"/>
    <w:rsid w:val="00522780"/>
    <w:rsid w:val="00530FC1"/>
    <w:rsid w:val="00540505"/>
    <w:rsid w:val="0054279D"/>
    <w:rsid w:val="00543910"/>
    <w:rsid w:val="00587025"/>
    <w:rsid w:val="005A70DA"/>
    <w:rsid w:val="005B5E5A"/>
    <w:rsid w:val="005B756B"/>
    <w:rsid w:val="005C115D"/>
    <w:rsid w:val="005C1B63"/>
    <w:rsid w:val="005C4841"/>
    <w:rsid w:val="005D3E82"/>
    <w:rsid w:val="005E0546"/>
    <w:rsid w:val="005F607B"/>
    <w:rsid w:val="00605CCB"/>
    <w:rsid w:val="0064170F"/>
    <w:rsid w:val="006459DF"/>
    <w:rsid w:val="00651BDE"/>
    <w:rsid w:val="00660947"/>
    <w:rsid w:val="0067467C"/>
    <w:rsid w:val="0069424C"/>
    <w:rsid w:val="00696ABA"/>
    <w:rsid w:val="006F2E42"/>
    <w:rsid w:val="00704153"/>
    <w:rsid w:val="0075542A"/>
    <w:rsid w:val="00761967"/>
    <w:rsid w:val="00761B59"/>
    <w:rsid w:val="007C06D3"/>
    <w:rsid w:val="007C61C9"/>
    <w:rsid w:val="007D2D19"/>
    <w:rsid w:val="007D6F27"/>
    <w:rsid w:val="007D79D2"/>
    <w:rsid w:val="007F1CCA"/>
    <w:rsid w:val="00821EDA"/>
    <w:rsid w:val="00824CC7"/>
    <w:rsid w:val="00890836"/>
    <w:rsid w:val="008B2D8C"/>
    <w:rsid w:val="008E47F5"/>
    <w:rsid w:val="00912B91"/>
    <w:rsid w:val="00930EB7"/>
    <w:rsid w:val="009326FD"/>
    <w:rsid w:val="00935181"/>
    <w:rsid w:val="00946856"/>
    <w:rsid w:val="00947414"/>
    <w:rsid w:val="00961A60"/>
    <w:rsid w:val="0098717D"/>
    <w:rsid w:val="00997CCF"/>
    <w:rsid w:val="009B3956"/>
    <w:rsid w:val="009C2260"/>
    <w:rsid w:val="009E3F5B"/>
    <w:rsid w:val="00A11943"/>
    <w:rsid w:val="00A333A9"/>
    <w:rsid w:val="00A4105F"/>
    <w:rsid w:val="00A62C0B"/>
    <w:rsid w:val="00A75695"/>
    <w:rsid w:val="00A91084"/>
    <w:rsid w:val="00A9594D"/>
    <w:rsid w:val="00AA3987"/>
    <w:rsid w:val="00AC69FE"/>
    <w:rsid w:val="00B02F92"/>
    <w:rsid w:val="00B03F6B"/>
    <w:rsid w:val="00B16313"/>
    <w:rsid w:val="00B202FE"/>
    <w:rsid w:val="00B218C0"/>
    <w:rsid w:val="00B25909"/>
    <w:rsid w:val="00B324F3"/>
    <w:rsid w:val="00B84BDC"/>
    <w:rsid w:val="00BB3BF6"/>
    <w:rsid w:val="00BF727C"/>
    <w:rsid w:val="00C0179B"/>
    <w:rsid w:val="00C02ED6"/>
    <w:rsid w:val="00C31711"/>
    <w:rsid w:val="00C33898"/>
    <w:rsid w:val="00CE3CB1"/>
    <w:rsid w:val="00CE74FB"/>
    <w:rsid w:val="00D0399E"/>
    <w:rsid w:val="00D21D19"/>
    <w:rsid w:val="00D2685C"/>
    <w:rsid w:val="00D56800"/>
    <w:rsid w:val="00D81BF1"/>
    <w:rsid w:val="00D86E03"/>
    <w:rsid w:val="00D9652C"/>
    <w:rsid w:val="00DC6D21"/>
    <w:rsid w:val="00DC75CE"/>
    <w:rsid w:val="00DF47F8"/>
    <w:rsid w:val="00DF7571"/>
    <w:rsid w:val="00E009D0"/>
    <w:rsid w:val="00E178B7"/>
    <w:rsid w:val="00E223CF"/>
    <w:rsid w:val="00E37FAC"/>
    <w:rsid w:val="00E835C3"/>
    <w:rsid w:val="00E912DF"/>
    <w:rsid w:val="00EB1060"/>
    <w:rsid w:val="00EB1203"/>
    <w:rsid w:val="00EC17E6"/>
    <w:rsid w:val="00F34C7C"/>
    <w:rsid w:val="00F712CB"/>
    <w:rsid w:val="00FA6E09"/>
    <w:rsid w:val="00FD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F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47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uiPriority w:val="99"/>
    <w:rsid w:val="008E47F5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8E47F5"/>
    <w:rPr>
      <w:sz w:val="22"/>
      <w:lang w:eastAsia="ru-RU" w:bidi="ar-SA"/>
    </w:rPr>
  </w:style>
  <w:style w:type="character" w:customStyle="1" w:styleId="a3">
    <w:name w:val="Без интервала Знак"/>
    <w:link w:val="a4"/>
    <w:uiPriority w:val="99"/>
    <w:locked/>
    <w:rsid w:val="008E47F5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8E47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6B45C-15A7-4845-A962-E4C8EE65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022219</dc:creator>
  <cp:keywords/>
  <dc:description/>
  <cp:lastModifiedBy>Администрация</cp:lastModifiedBy>
  <cp:revision>118</cp:revision>
  <cp:lastPrinted>2021-07-12T04:03:00Z</cp:lastPrinted>
  <dcterms:created xsi:type="dcterms:W3CDTF">2021-07-12T04:03:00Z</dcterms:created>
  <dcterms:modified xsi:type="dcterms:W3CDTF">2024-09-17T11:34:00Z</dcterms:modified>
</cp:coreProperties>
</file>